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DB" w:rsidRDefault="004145DB" w:rsidP="004145DB">
      <w:pPr>
        <w:ind w:firstLine="0"/>
        <w:jc w:val="right"/>
        <w:rPr>
          <w:rFonts w:eastAsiaTheme="minorEastAsia" w:cs="Times New Roman"/>
          <w:color w:val="000000"/>
          <w:sz w:val="20"/>
          <w:szCs w:val="20"/>
          <w:lang w:eastAsia="ru-RU"/>
        </w:rPr>
      </w:pPr>
      <w:r>
        <w:rPr>
          <w:rFonts w:eastAsiaTheme="minorEastAsia" w:cs="Times New Roman"/>
          <w:color w:val="000000"/>
          <w:sz w:val="20"/>
          <w:szCs w:val="20"/>
          <w:lang w:eastAsia="ru-RU"/>
        </w:rPr>
        <w:t>УТВЕРЖДАЮ:</w:t>
      </w:r>
    </w:p>
    <w:p w:rsidR="004145DB" w:rsidRDefault="004145DB" w:rsidP="004145DB">
      <w:pPr>
        <w:ind w:firstLine="0"/>
        <w:jc w:val="right"/>
        <w:rPr>
          <w:rFonts w:eastAsiaTheme="minorEastAsia" w:cs="Times New Roman"/>
          <w:color w:val="000000"/>
          <w:sz w:val="20"/>
          <w:szCs w:val="20"/>
          <w:lang w:eastAsia="ru-RU"/>
        </w:rPr>
      </w:pPr>
      <w:r>
        <w:rPr>
          <w:rFonts w:eastAsiaTheme="minorEastAsia" w:cs="Times New Roman"/>
          <w:color w:val="000000"/>
          <w:sz w:val="20"/>
          <w:szCs w:val="20"/>
          <w:lang w:eastAsia="ru-RU"/>
        </w:rPr>
        <w:t>Заведующий МДОУ «Курдумовский детский сад»</w:t>
      </w:r>
    </w:p>
    <w:p w:rsidR="004145DB" w:rsidRDefault="004145DB" w:rsidP="004145DB">
      <w:pPr>
        <w:ind w:firstLine="0"/>
        <w:jc w:val="right"/>
        <w:rPr>
          <w:rFonts w:eastAsiaTheme="minorEastAsia" w:cs="Times New Roman"/>
          <w:color w:val="000000"/>
          <w:sz w:val="20"/>
          <w:szCs w:val="20"/>
          <w:lang w:eastAsia="ru-RU"/>
        </w:rPr>
      </w:pPr>
      <w:r>
        <w:rPr>
          <w:rFonts w:eastAsiaTheme="minorEastAsia" w:cs="Times New Roman"/>
          <w:color w:val="000000"/>
          <w:sz w:val="20"/>
          <w:szCs w:val="20"/>
          <w:lang w:eastAsia="ru-RU"/>
        </w:rPr>
        <w:t xml:space="preserve">_____________Е.В. </w:t>
      </w:r>
      <w:proofErr w:type="spellStart"/>
      <w:r>
        <w:rPr>
          <w:rFonts w:eastAsiaTheme="minorEastAsia" w:cs="Times New Roman"/>
          <w:color w:val="000000"/>
          <w:sz w:val="20"/>
          <w:szCs w:val="20"/>
          <w:lang w:eastAsia="ru-RU"/>
        </w:rPr>
        <w:t>Ширшина</w:t>
      </w:r>
      <w:proofErr w:type="spellEnd"/>
    </w:p>
    <w:p w:rsidR="004145DB" w:rsidRDefault="004145DB" w:rsidP="004145DB">
      <w:pPr>
        <w:ind w:firstLine="0"/>
        <w:jc w:val="right"/>
        <w:rPr>
          <w:rFonts w:eastAsiaTheme="minorEastAsia" w:cs="Times New Roman"/>
          <w:color w:val="000000"/>
          <w:sz w:val="20"/>
          <w:szCs w:val="20"/>
          <w:lang w:eastAsia="ru-RU"/>
        </w:rPr>
      </w:pPr>
      <w:r>
        <w:rPr>
          <w:rFonts w:eastAsiaTheme="minorEastAsia" w:cs="Times New Roman"/>
          <w:color w:val="000000"/>
          <w:sz w:val="20"/>
          <w:szCs w:val="20"/>
          <w:lang w:eastAsia="ru-RU"/>
        </w:rPr>
        <w:t>«20» января 2025 г.</w:t>
      </w:r>
    </w:p>
    <w:p w:rsidR="004145DB" w:rsidRDefault="004145DB" w:rsidP="004145DB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4145DB" w:rsidRDefault="004145DB" w:rsidP="004145DB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4145DB" w:rsidRDefault="004145DB" w:rsidP="004145DB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Карта коррупционных рисков</w:t>
      </w:r>
    </w:p>
    <w:p w:rsidR="004145DB" w:rsidRDefault="004145DB" w:rsidP="004145DB">
      <w:pPr>
        <w:ind w:firstLine="0"/>
        <w:jc w:val="center"/>
        <w:rPr>
          <w:rFonts w:cs="Times New Roman"/>
          <w:b/>
          <w:bCs/>
          <w:lang w:eastAsia="ru-RU"/>
        </w:rPr>
      </w:pPr>
      <w:proofErr w:type="gramStart"/>
      <w:r>
        <w:rPr>
          <w:rFonts w:cs="Times New Roman"/>
          <w:b/>
          <w:bCs/>
          <w:lang w:eastAsia="ru-RU"/>
        </w:rPr>
        <w:t>муниципального  дошкольного</w:t>
      </w:r>
      <w:proofErr w:type="gramEnd"/>
      <w:r>
        <w:rPr>
          <w:rFonts w:cs="Times New Roman"/>
          <w:b/>
          <w:bCs/>
          <w:lang w:eastAsia="ru-RU"/>
        </w:rPr>
        <w:t xml:space="preserve"> образовательного учреждения «Курдумовский детский сад»</w:t>
      </w:r>
    </w:p>
    <w:p w:rsidR="004145DB" w:rsidRDefault="004145DB" w:rsidP="004145DB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 xml:space="preserve"> Гаврилов-Ямского муниципального района</w:t>
      </w:r>
    </w:p>
    <w:p w:rsidR="004145DB" w:rsidRDefault="004145DB" w:rsidP="004145DB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8"/>
        <w:tblW w:w="15277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79"/>
        <w:gridCol w:w="2041"/>
        <w:gridCol w:w="3680"/>
        <w:gridCol w:w="1760"/>
        <w:gridCol w:w="1361"/>
        <w:gridCol w:w="5756"/>
      </w:tblGrid>
      <w:tr w:rsidR="004145DB" w:rsidTr="00716D28">
        <w:tc>
          <w:tcPr>
            <w:tcW w:w="678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  <w:tab w:val="left" w:pos="14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-опасная функция</w:t>
            </w:r>
          </w:p>
        </w:tc>
        <w:tc>
          <w:tcPr>
            <w:tcW w:w="368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Наименование должности в учреждении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Меры по управлению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коррупционными рисками</w:t>
            </w:r>
          </w:p>
        </w:tc>
      </w:tr>
    </w:tbl>
    <w:p w:rsidR="004145DB" w:rsidRDefault="004145DB" w:rsidP="004145DB">
      <w:pPr>
        <w:rPr>
          <w:sz w:val="2"/>
          <w:szCs w:val="2"/>
        </w:rPr>
      </w:pPr>
    </w:p>
    <w:tbl>
      <w:tblPr>
        <w:tblStyle w:val="a8"/>
        <w:tblW w:w="15277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79"/>
        <w:gridCol w:w="2042"/>
        <w:gridCol w:w="3679"/>
        <w:gridCol w:w="1760"/>
        <w:gridCol w:w="1361"/>
        <w:gridCol w:w="5756"/>
      </w:tblGrid>
      <w:tr w:rsidR="004145DB" w:rsidTr="00716D28">
        <w:trPr>
          <w:tblHeader/>
        </w:trPr>
        <w:tc>
          <w:tcPr>
            <w:tcW w:w="678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45DB" w:rsidTr="00716D28">
        <w:tc>
          <w:tcPr>
            <w:tcW w:w="678" w:type="dxa"/>
            <w:vMerge w:val="restart"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проектов локальных нормативных актов</w:t>
            </w: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локальных нормативных актов, содержащих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36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работником учреждения при осуществлении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Привлечение к разработке проектов локальных нормативных актов институтов гражданского общества в формах обсуждения, создания совместных рабочих групп;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  <w:tab w:val="left" w:pos="584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предложений по разработке, разработка, согласование проектов локальных нормативных актов в целях создания преференций для определенного круга субъектов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  <w:vMerge w:val="restart"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  <w:tab w:val="left" w:pos="14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антикоррупционной и правовой экспертизы локальных нормативных актов </w:t>
            </w: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Несоставление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экспертного заключения по результатам проведения антикоррупционной экспертизы о наличии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факторов в проекте локального нормативного акта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локальных нормативных актов;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Организация повышения профессионального уровня работников учреждения, осуществляющих проведение антикоррупционной экспертизы;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  <w:tab w:val="left" w:pos="544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Перераспределение функций между работниками учреждения внутри структурного подразделения.</w:t>
            </w: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Разработка, согласование проектов локальных нормативных актов, содержащих нормы, установление которых выходит за пределы полномочий учреждения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93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Подготовка экспертных заключений о соответствии федеральному и региональному законодательству проектов локальных нормативных актов, содержащих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Непредставление проектов локальных нормативных актов, содержащих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факторы, на антикоррупционную экспертизу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  <w:vMerge w:val="restart"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учреждения в судебных и иных органах власти</w:t>
            </w: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  <w:tab w:val="left" w:pos="323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Ненадлежащее исполнение обязанностей представителя учреждения (пассивная позиция при защите интересов учреждения) с целью принятия решений в пользу иных заинтересованных лиц при представлении интересов учреждения в судебных и иных органах власти;</w:t>
            </w:r>
          </w:p>
          <w:p w:rsidR="004145DB" w:rsidRDefault="004145DB" w:rsidP="00716D28">
            <w:pPr>
              <w:widowControl w:val="0"/>
              <w:tabs>
                <w:tab w:val="left" w:pos="1134"/>
                <w:tab w:val="left" w:pos="323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widowControl w:val="0"/>
              <w:tabs>
                <w:tab w:val="left" w:pos="1134"/>
                <w:tab w:val="left" w:pos="323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Злоупотребление 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предоставлен-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учреждения);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250"/>
              </w:tabs>
              <w:ind w:right="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Заведующий, работники учреждения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Обязательное заблаговременное согласование правовой позиции представителя учреждения с руководителем учреждения.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Выработка позиции представления в суде интересов учреждения, используя договоренность с участниками судебного процесса;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36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spacing w:beforeAutospacing="1"/>
              <w:ind w:right="567" w:firstLine="0"/>
              <w:jc w:val="both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Получение положительного решения по делам учреждения, инициируя разработку проекта локального нормативного акта, содержащего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факторы.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spacing w:beforeAutospacing="1"/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 (правовая экспертиза проектов договоров (соглашений), заключаемых от имени учреждения; 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контрактный управляющий; заведующий хозяйством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договоров (соглашений);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работников учреждения с гражданами и представителями организаций;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  <w:tab w:val="left" w:pos="556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4145DB" w:rsidTr="00716D28">
        <w:tc>
          <w:tcPr>
            <w:tcW w:w="678" w:type="dxa"/>
            <w:vMerge w:val="restart"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Осуществление функций распорядителя и получателя бюджетных средств, предусмотренных на финансирование возложенных на учреждение полномочий</w:t>
            </w: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работник учреждения выявляет, что определенные работы (услуги):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уже были ранее оплачены;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не предусмотрены государственным (муниципальным)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заведующий хозяйством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4145DB" w:rsidTr="00716D28">
        <w:trPr>
          <w:trHeight w:val="1275"/>
        </w:trPr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 целях получения материальной выгоды от заинтересованного лица работнику учреждения поступает предложение за вознаграждение: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скрыть наличие просроченной дебиторской задолженности;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  <w:tab w:val="left" w:pos="323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полномочий собственника </w:t>
            </w: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работником учреждения при осуществлении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Необоснованное согласование или необоснованный отказ в согласовании предоставления в аренду государственного (муниципального) имущества, находящегося в оперативном управлении учреждения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9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Установление четкой регламентации порядка и сроков совершения действий работником учреждения</w:t>
            </w:r>
          </w:p>
        </w:tc>
      </w:tr>
      <w:tr w:rsidR="004145DB" w:rsidTr="00716D28">
        <w:tc>
          <w:tcPr>
            <w:tcW w:w="678" w:type="dxa"/>
            <w:vMerge w:val="restart"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заказчика, осуществляющего закупки товаров, работ, услуг для (муниципальных) нужд</w:t>
            </w: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93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расширен (ограничен) круг возможных участников закупки;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завышена (занижена) начальная (максимальная) цена контракта.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Привлечение к подготовке проектов государственных контрактов (договоров) представителей иных структурных подразделений органа государственной власти (органа местного самоуправления).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(муниципальных) контрактов (договоров)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93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контрактный управляющий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4145DB" w:rsidTr="00716D28">
        <w:trPr>
          <w:trHeight w:val="694"/>
        </w:trPr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 ведении претензионной работы работнику учреждения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государственного (муниципального) контракта (договора).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64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контрактный управляющий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работником учреждения при осуществлении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145DB" w:rsidTr="00716D28">
        <w:trPr>
          <w:trHeight w:val="694"/>
        </w:trPr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Заведующий,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  <w:tab w:val="left" w:pos="593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:rsidR="004145DB" w:rsidTr="00716D28">
        <w:trPr>
          <w:trHeight w:val="694"/>
        </w:trPr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контракта.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4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Заведующий,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:rsidR="004145DB" w:rsidTr="00716D28">
        <w:trPr>
          <w:trHeight w:val="694"/>
        </w:trPr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Заведующий,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2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-опасной функции</w:t>
            </w: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02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br/>
              <w:t xml:space="preserve">контрактный управляющий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работником учреждения при осуществлении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Оборудование мест взаимодействия работников учреждения и представителей участников торгов средствами аудио-видео-записи.</w:t>
            </w:r>
          </w:p>
        </w:tc>
      </w:tr>
      <w:tr w:rsidR="004145DB" w:rsidTr="00716D28">
        <w:tc>
          <w:tcPr>
            <w:tcW w:w="678" w:type="dxa"/>
            <w:vMerge w:val="restart"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  <w:tab w:val="left" w:pos="147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Оказание государственной (муниципальной) услуги</w:t>
            </w:r>
            <w:r>
              <w:rPr>
                <w:rStyle w:val="a3"/>
                <w:rFonts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Установление необоснованных преимуществ при оказании государственной (муниципальной) услуги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государственной (муниципальной) услуги;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Размещение на официальном сайте учреждения Административного регламента предоставления государственной (муниципальной) услуги;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Совершенствование механизма отбора работников учреждения для включения в состав комиссий, рабочих групп, принимающих соответствующие решения;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  <w:tab w:val="left" w:pos="578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государственной (муниципальной)услуги;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2"/>
              <w:keepNext w:val="0"/>
              <w:keepLines w:val="0"/>
              <w:widowControl w:val="0"/>
              <w:spacing w:before="0" w:after="0" w:line="240" w:lineRule="auto"/>
              <w:ind w:left="284" w:right="0" w:firstLine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pStyle w:val="a7"/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 государственной (муниципальной) услуги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pStyle w:val="a7"/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4145DB" w:rsidTr="00716D28">
        <w:tc>
          <w:tcPr>
            <w:tcW w:w="678" w:type="dxa"/>
            <w:vMerge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tabs>
                <w:tab w:val="clear" w:pos="1134"/>
                <w:tab w:val="left" w:pos="567"/>
              </w:tabs>
              <w:spacing w:before="0" w:after="0" w:line="240" w:lineRule="auto"/>
              <w:ind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87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Оптимизация перечня 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документов(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4145DB" w:rsidTr="00716D28">
        <w:tc>
          <w:tcPr>
            <w:tcW w:w="678" w:type="dxa"/>
          </w:tcPr>
          <w:p w:rsidR="004145DB" w:rsidRDefault="004145DB" w:rsidP="00716D28">
            <w:pPr>
              <w:pStyle w:val="1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конкурсов на замещение вакантной должности, на включение в кадровый резерв </w:t>
            </w:r>
          </w:p>
        </w:tc>
        <w:tc>
          <w:tcPr>
            <w:tcW w:w="3679" w:type="dxa"/>
          </w:tcPr>
          <w:p w:rsidR="004145DB" w:rsidRDefault="004145DB" w:rsidP="00716D28">
            <w:pPr>
              <w:pStyle w:val="a7"/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Победителем конкурса на замещение вакантной должности, на включение в кадровый резерв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</w:t>
            </w:r>
          </w:p>
        </w:tc>
        <w:tc>
          <w:tcPr>
            <w:tcW w:w="1760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righ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361" w:type="dxa"/>
          </w:tcPr>
          <w:p w:rsidR="004145DB" w:rsidRDefault="004145DB" w:rsidP="00716D28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5756" w:type="dxa"/>
          </w:tcPr>
          <w:p w:rsidR="004145DB" w:rsidRDefault="004145DB" w:rsidP="00716D28">
            <w:pPr>
              <w:pStyle w:val="a7"/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Коллегиальное принятие решений. </w:t>
            </w:r>
          </w:p>
          <w:p w:rsidR="004145DB" w:rsidRDefault="004145DB" w:rsidP="00716D28">
            <w:pPr>
              <w:pStyle w:val="a7"/>
              <w:keepNext/>
              <w:keepLines/>
              <w:widowControl w:val="0"/>
              <w:tabs>
                <w:tab w:val="left" w:pos="1134"/>
              </w:tabs>
              <w:ind w:right="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5DB" w:rsidRDefault="004145DB" w:rsidP="00716D28">
            <w:pPr>
              <w:pStyle w:val="a7"/>
              <w:keepNext/>
              <w:keepLines/>
              <w:widowControl w:val="0"/>
              <w:tabs>
                <w:tab w:val="left" w:pos="1134"/>
              </w:tabs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информации о результатах конкурса.</w:t>
            </w:r>
          </w:p>
          <w:p w:rsidR="004145DB" w:rsidRDefault="004145DB" w:rsidP="00716D28">
            <w:pPr>
              <w:pStyle w:val="a7"/>
              <w:keepNext/>
              <w:keepLines/>
              <w:widowControl w:val="0"/>
              <w:tabs>
                <w:tab w:val="left" w:pos="1134"/>
              </w:tabs>
              <w:ind w:right="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5DB" w:rsidRDefault="004145DB" w:rsidP="00716D28">
            <w:pPr>
              <w:pStyle w:val="a7"/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работникам учреждения:</w:t>
            </w:r>
          </w:p>
          <w:p w:rsidR="004145DB" w:rsidRDefault="004145DB" w:rsidP="00716D28">
            <w:pPr>
              <w:pStyle w:val="a7"/>
              <w:keepNext/>
              <w:keepLines/>
              <w:widowControl w:val="0"/>
              <w:tabs>
                <w:tab w:val="left" w:pos="1134"/>
              </w:tabs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145DB" w:rsidRDefault="004145DB" w:rsidP="00716D28">
            <w:pPr>
              <w:pStyle w:val="a7"/>
              <w:keepNext/>
              <w:keepLines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</w:tbl>
    <w:p w:rsidR="004145DB" w:rsidRDefault="004145DB" w:rsidP="004145DB">
      <w:pPr>
        <w:rPr>
          <w:rFonts w:cs="Times New Roman"/>
        </w:rPr>
      </w:pPr>
    </w:p>
    <w:p w:rsidR="00DB4B34" w:rsidRDefault="001674AE">
      <w:bookmarkStart w:id="0" w:name="_GoBack"/>
      <w:bookmarkEnd w:id="0"/>
    </w:p>
    <w:sectPr w:rsidR="00DB4B34">
      <w:pgSz w:w="16838" w:h="11906" w:orient="landscape"/>
      <w:pgMar w:top="860" w:right="1194" w:bottom="559" w:left="1134" w:header="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AE" w:rsidRDefault="001674AE" w:rsidP="004145DB">
      <w:r>
        <w:separator/>
      </w:r>
    </w:p>
  </w:endnote>
  <w:endnote w:type="continuationSeparator" w:id="0">
    <w:p w:rsidR="001674AE" w:rsidRDefault="001674AE" w:rsidP="0041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AE" w:rsidRDefault="001674AE" w:rsidP="004145DB">
      <w:r>
        <w:separator/>
      </w:r>
    </w:p>
  </w:footnote>
  <w:footnote w:type="continuationSeparator" w:id="0">
    <w:p w:rsidR="001674AE" w:rsidRDefault="001674AE" w:rsidP="004145DB">
      <w:r>
        <w:continuationSeparator/>
      </w:r>
    </w:p>
  </w:footnote>
  <w:footnote w:id="1">
    <w:p w:rsidR="004145DB" w:rsidRDefault="004145DB" w:rsidP="004145DB">
      <w:pPr>
        <w:pStyle w:val="a5"/>
        <w:widowControl w:val="0"/>
      </w:pPr>
      <w:r>
        <w:rPr>
          <w:rStyle w:val="a4"/>
        </w:rPr>
        <w:footnoteRef/>
      </w:r>
      <w:r>
        <w:t xml:space="preserve"> Указывается наименование конкретной государственной (муниципальной)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46AEE"/>
    <w:multiLevelType w:val="multilevel"/>
    <w:tmpl w:val="F1C489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32"/>
    <w:rsid w:val="001674AE"/>
    <w:rsid w:val="004145DB"/>
    <w:rsid w:val="008F4232"/>
    <w:rsid w:val="00CD2179"/>
    <w:rsid w:val="00D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BC5AE-8E26-4296-9574-34FD51B5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DB"/>
    <w:pPr>
      <w:suppressAutoHyphens/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4145DB"/>
    <w:rPr>
      <w:vertAlign w:val="superscript"/>
    </w:rPr>
  </w:style>
  <w:style w:type="character" w:customStyle="1" w:styleId="a4">
    <w:name w:val="Символ сноски"/>
    <w:qFormat/>
    <w:rsid w:val="004145DB"/>
  </w:style>
  <w:style w:type="paragraph" w:styleId="a5">
    <w:name w:val="footnote text"/>
    <w:basedOn w:val="a"/>
    <w:link w:val="a6"/>
    <w:uiPriority w:val="99"/>
    <w:semiHidden/>
    <w:unhideWhenUsed/>
    <w:rsid w:val="004145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45DB"/>
    <w:rPr>
      <w:rFonts w:ascii="Times New Roman" w:eastAsia="Times New Roman" w:hAnsi="Times New Roman" w:cs="Calibri"/>
      <w:sz w:val="20"/>
      <w:szCs w:val="20"/>
    </w:rPr>
  </w:style>
  <w:style w:type="paragraph" w:customStyle="1" w:styleId="1">
    <w:name w:val="_Заголовок1"/>
    <w:basedOn w:val="a"/>
    <w:qFormat/>
    <w:rsid w:val="004145DB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4145DB"/>
    <w:pPr>
      <w:spacing w:before="240" w:after="120"/>
      <w:outlineLvl w:val="1"/>
    </w:pPr>
  </w:style>
  <w:style w:type="paragraph" w:styleId="a7">
    <w:name w:val="No Spacing"/>
    <w:uiPriority w:val="1"/>
    <w:qFormat/>
    <w:rsid w:val="004145DB"/>
    <w:pPr>
      <w:suppressAutoHyphens/>
      <w:spacing w:after="0" w:line="240" w:lineRule="auto"/>
    </w:pPr>
    <w:rPr>
      <w:rFonts w:cs="Times New Roman"/>
    </w:rPr>
  </w:style>
  <w:style w:type="table" w:styleId="a8">
    <w:name w:val="Table Grid"/>
    <w:basedOn w:val="a1"/>
    <w:uiPriority w:val="59"/>
    <w:rsid w:val="004145DB"/>
    <w:pPr>
      <w:suppressAutoHyphens/>
      <w:spacing w:after="0" w:line="240" w:lineRule="auto"/>
    </w:pPr>
    <w:rPr>
      <w:sz w:val="2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2045</Words>
  <Characters>11659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Курдумовский дс</dc:creator>
  <cp:keywords/>
  <dc:description/>
  <cp:lastModifiedBy>Курдумовский дс</cp:lastModifiedBy>
  <cp:revision>2</cp:revision>
  <dcterms:created xsi:type="dcterms:W3CDTF">2025-03-21T07:29:00Z</dcterms:created>
  <dcterms:modified xsi:type="dcterms:W3CDTF">2025-03-21T07:29:00Z</dcterms:modified>
</cp:coreProperties>
</file>